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2087029958" name="Picture">
</wp:docPr>
                  <a:graphic>
                    <a:graphicData uri="http://schemas.openxmlformats.org/drawingml/2006/picture">
                      <pic:pic>
                        <pic:nvPicPr>
                          <pic:cNvPr id="2087029958"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990.25.00066 Изготовление сувенирной продукции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45%</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Ресурсные возможности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3.3.2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26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1236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Опыт выполнения услуг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Опыт выполнения услуг;</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4.3.3.  Присвоение баллов заявкам по критерию 3.3 Ресурсные возможности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3.3</w:t>
                  </w:r>
                  <w:r>
                    <w:rPr>
                      <w:rFonts w:ascii="Times New Roman" w:hAnsi="Times New Roman" w:eastAsia="Times New Roman" w:cs="Times New Roman"/>
                      <w:color w:val="000000"/>
                      <w:sz w:val="24"/>
                    </w:rPr>
                    <w:t xml:space="preserve"> – сумма баллов (с учетом значимости) по подкритериям критерия 3.3 Ресурсные возможности;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сумма баллов по соответствующим подкритериям критерия 3.3;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3.3.2</w:t>
                  </w:r>
                  <w:r>
                    <w:rPr>
                      <w:rFonts w:ascii="Times New Roman" w:hAnsi="Times New Roman" w:eastAsia="Times New Roman" w:cs="Times New Roman"/>
                      <w:color w:val="000000"/>
                      <w:sz w:val="24"/>
                    </w:rPr>
                    <w:t xml:space="preserve"> − значимость каждого подкритерия критерия 3.3.</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990.25.00066</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990.25.00066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990.25.00066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990.25.00066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990.25.00066</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084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и квалификация персонала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персонала, требовавшегося в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персонала, требовавшегося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19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96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Опыт выполнения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36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сведений, либо подтвержденный опыт ниже минимальных требований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полного подтверждения требований ТЗ к опыту</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76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24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4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материальных ресурсов</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4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МТР, требовавшихся по ТЗ ИЛИ в случае отсутствия данного требования в ТЗ</w:t>
                          <w:br/>
                          <w:t xml:space="preserve">От 2 до 4 баллов  - Данный диапазон не используется для оценки</w:t>
                          <w:br/>
                          <w:t xml:space="preserve">5 баллов - В случае предоставления участником подтверждения наличия МТР в количестве и номенклатуре, требовавшемся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04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16100"/>
        <w:gridCol w:w="340"/>
      </w:tblGrid>
      <w:tr>
        <w:trPr>
          <w:trHeight w:hRule="exact" w:val="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r>
      <w:tr>
        <w:trPr>
          <w:trHeight w:hRule="exact" w:val="4400"/>
        </w:trPr>
        <w:tc>
          <w:tcPr>
     </w:tcPr>
          <w:p>
            <w:pPr>
              <w:pStyle w:val="EMPTY_CELL_STYLE"/>
            </w:pPr>
          </w:p>
        </w:tc>
        <w:tc>
          <w:tcPr>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свидетельства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